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09" w:rsidRPr="00C42585" w:rsidRDefault="009F6309" w:rsidP="005A0DD1">
      <w:pPr>
        <w:spacing w:line="719" w:lineRule="auto"/>
        <w:ind w:right="356" w:firstLine="336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C42585">
        <w:rPr>
          <w:rFonts w:ascii="Arial" w:eastAsia="Arial" w:hAnsi="Arial"/>
          <w:b/>
          <w:sz w:val="22"/>
          <w:szCs w:val="22"/>
          <w:u w:val="single"/>
        </w:rPr>
        <w:t>Közszolgáltatási tevékenységünk során kötelezően alkalmazandó jogszabályok Törvények</w:t>
      </w:r>
    </w:p>
    <w:p w:rsidR="00465B5D" w:rsidRPr="00C42585" w:rsidRDefault="00471B76" w:rsidP="009F630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b/>
          <w:sz w:val="22"/>
          <w:szCs w:val="22"/>
        </w:rPr>
      </w:pPr>
      <w:r w:rsidRPr="00C42585">
        <w:rPr>
          <w:rFonts w:ascii="Arial" w:eastAsia="Arial" w:hAnsi="Arial"/>
          <w:b/>
          <w:sz w:val="22"/>
          <w:szCs w:val="22"/>
        </w:rPr>
        <w:t xml:space="preserve">2007. évi LXXXVI. törvény </w:t>
      </w:r>
      <w:r w:rsidR="00223ED6" w:rsidRPr="00C42585">
        <w:rPr>
          <w:rFonts w:ascii="Arial" w:eastAsia="Arial" w:hAnsi="Arial"/>
          <w:b/>
          <w:sz w:val="22"/>
          <w:szCs w:val="22"/>
        </w:rPr>
        <w:t xml:space="preserve">- </w:t>
      </w:r>
      <w:r w:rsidRPr="00C42585">
        <w:rPr>
          <w:rFonts w:ascii="Arial" w:eastAsia="Arial" w:hAnsi="Arial"/>
          <w:b/>
          <w:sz w:val="22"/>
          <w:szCs w:val="22"/>
        </w:rPr>
        <w:t>a villamos energiáról</w:t>
      </w:r>
      <w:r w:rsidR="00E435C7" w:rsidRPr="00C42585">
        <w:rPr>
          <w:rFonts w:ascii="Arial" w:eastAsia="Arial" w:hAnsi="Arial"/>
          <w:b/>
          <w:sz w:val="22"/>
          <w:szCs w:val="22"/>
        </w:rPr>
        <w:t xml:space="preserve"> (Vet.)</w:t>
      </w:r>
    </w:p>
    <w:p w:rsidR="009F6309" w:rsidRPr="00C42585" w:rsidRDefault="009F6309" w:rsidP="009F6309">
      <w:pPr>
        <w:tabs>
          <w:tab w:val="left" w:pos="700"/>
        </w:tabs>
        <w:spacing w:line="0" w:lineRule="atLeast"/>
        <w:ind w:left="700"/>
        <w:jc w:val="both"/>
        <w:rPr>
          <w:rFonts w:ascii="Arial" w:eastAsia="Arial" w:hAnsi="Arial"/>
          <w:b/>
          <w:sz w:val="22"/>
          <w:szCs w:val="22"/>
        </w:rPr>
      </w:pPr>
    </w:p>
    <w:p w:rsidR="009F6309" w:rsidRPr="00C42585" w:rsidRDefault="009F6309" w:rsidP="009F630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b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2013. évi V. törvény - a Polgári Törvénykönyvről (új Ptk.)</w:t>
      </w:r>
    </w:p>
    <w:p w:rsidR="00B94713" w:rsidRPr="00C42585" w:rsidRDefault="009F6309" w:rsidP="007B0DA1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1959. évi IV. törvény – a Magyar Köztársaság Polgári Törvénykönyvéről (az új Ptk.</w:t>
      </w:r>
      <w:r w:rsidR="00647B60" w:rsidRPr="00C42585">
        <w:rPr>
          <w:rFonts w:ascii="Arial" w:eastAsia="Arial" w:hAnsi="Arial"/>
          <w:sz w:val="22"/>
          <w:szCs w:val="22"/>
        </w:rPr>
        <w:t xml:space="preserve"> </w:t>
      </w:r>
      <w:r w:rsidRPr="00C42585">
        <w:rPr>
          <w:rFonts w:ascii="Arial" w:eastAsia="Arial" w:hAnsi="Arial"/>
          <w:sz w:val="22"/>
          <w:szCs w:val="22"/>
        </w:rPr>
        <w:t>2014. március 15-i hatálybalépésekor fennálló kötelmekkel kapcsolatosan alkalmazandó)</w:t>
      </w:r>
    </w:p>
    <w:p w:rsidR="009F6309" w:rsidRPr="00C42585" w:rsidRDefault="009F6309" w:rsidP="009F630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 xml:space="preserve">2016. évi IX. törvény </w:t>
      </w:r>
      <w:r w:rsidR="007B0DA1" w:rsidRPr="00C42585">
        <w:rPr>
          <w:rFonts w:ascii="Arial" w:eastAsia="Arial" w:hAnsi="Arial"/>
          <w:sz w:val="22"/>
          <w:szCs w:val="22"/>
        </w:rPr>
        <w:t xml:space="preserve">- </w:t>
      </w:r>
      <w:r w:rsidRPr="00C42585">
        <w:rPr>
          <w:rFonts w:ascii="Arial" w:eastAsia="Arial" w:hAnsi="Arial"/>
          <w:sz w:val="22"/>
          <w:szCs w:val="22"/>
        </w:rPr>
        <w:t>a behajtási költségátalányról</w:t>
      </w:r>
    </w:p>
    <w:p w:rsidR="00A11764" w:rsidRPr="00C42585" w:rsidRDefault="00A11764" w:rsidP="00A11764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2016. évi LXVIII. törvény - a jövedéki adóról</w:t>
      </w:r>
    </w:p>
    <w:p w:rsidR="009F6309" w:rsidRPr="00C42585" w:rsidRDefault="00AF7ABD" w:rsidP="009622EF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2015. évi CCXXII. törvény - az elektronikus ügyintézés és a bizalmi szolgáltatások általános szabályairól</w:t>
      </w:r>
    </w:p>
    <w:p w:rsidR="009622EF" w:rsidRPr="00C42585" w:rsidRDefault="009622EF" w:rsidP="009622EF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2015. évi CXLIII. törvény - a közbeszerzésekről</w:t>
      </w:r>
    </w:p>
    <w:p w:rsidR="009F6309" w:rsidRPr="00C42585" w:rsidRDefault="009F6309" w:rsidP="009622EF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2015. évi LVII. törvény – az energiahatékonyságról</w:t>
      </w:r>
    </w:p>
    <w:p w:rsidR="009F6309" w:rsidRPr="00C42585" w:rsidRDefault="009F6309" w:rsidP="009F630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2013. évi CLXXXVIII. törvény – az egységes közszolgáltatói számlaképről</w:t>
      </w:r>
    </w:p>
    <w:p w:rsidR="009F6309" w:rsidRPr="00C42585" w:rsidRDefault="009F6309" w:rsidP="009F630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2013. évi LIV. törvény – a rezsicsökkentések végrehajtásáról</w:t>
      </w:r>
    </w:p>
    <w:p w:rsidR="009F6309" w:rsidRPr="00C42585" w:rsidRDefault="009F6309" w:rsidP="009F630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2013. évi XXII. törvény - a Magyar Energetikai és Közmű-szabályozási Hivatalról</w:t>
      </w:r>
    </w:p>
    <w:p w:rsidR="009F6309" w:rsidRPr="00C42585" w:rsidRDefault="009F6309" w:rsidP="009F6309">
      <w:pPr>
        <w:spacing w:line="1" w:lineRule="exact"/>
        <w:jc w:val="both"/>
        <w:rPr>
          <w:rFonts w:ascii="Arial" w:eastAsia="Arial" w:hAnsi="Arial"/>
          <w:sz w:val="22"/>
          <w:szCs w:val="22"/>
        </w:rPr>
      </w:pPr>
    </w:p>
    <w:p w:rsidR="009F6309" w:rsidRPr="00C42585" w:rsidRDefault="009F6309" w:rsidP="009F6309">
      <w:pPr>
        <w:numPr>
          <w:ilvl w:val="0"/>
          <w:numId w:val="1"/>
        </w:numPr>
        <w:tabs>
          <w:tab w:val="left" w:pos="699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2011. évi CXII. törvény – az információs önrendelkezési jogról és az információszabadságról</w:t>
      </w:r>
    </w:p>
    <w:p w:rsidR="00EE5DFA" w:rsidRPr="00C42585" w:rsidRDefault="00EE5DFA" w:rsidP="00EE5DFA">
      <w:pPr>
        <w:numPr>
          <w:ilvl w:val="0"/>
          <w:numId w:val="1"/>
        </w:numPr>
        <w:tabs>
          <w:tab w:val="left" w:pos="699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2008. évi XLVII. törvény a fogyasztókkal szembeni tisztességtelen kereskedelmi gyakorlat tilalmáról</w:t>
      </w:r>
    </w:p>
    <w:p w:rsidR="009F6309" w:rsidRPr="00C42585" w:rsidRDefault="009F6309" w:rsidP="009F630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2006. V. törvény - a cégnyilvánosságról, a bírósági cégeljárásról és a végelszámolásról</w:t>
      </w:r>
    </w:p>
    <w:p w:rsidR="009F6309" w:rsidRPr="00C42585" w:rsidRDefault="00EE5DFA" w:rsidP="002F151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2003. évi CXXV. törvény az egyenlő bánásmódról és az esélyegyenlőség előmozdításáról</w:t>
      </w:r>
    </w:p>
    <w:p w:rsidR="009F6309" w:rsidRPr="00C42585" w:rsidRDefault="009F6309" w:rsidP="00EE5DFA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1997. évi CLV. törvény - a fogyasztóvédelemről</w:t>
      </w:r>
    </w:p>
    <w:p w:rsidR="009F6309" w:rsidRPr="00C42585" w:rsidRDefault="009F6309" w:rsidP="009F630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1995. évi LIII. törvény - a környezet védelmének általános szabályairól</w:t>
      </w:r>
    </w:p>
    <w:p w:rsidR="009F6309" w:rsidRPr="00C42585" w:rsidRDefault="009F6309" w:rsidP="009F6309">
      <w:pPr>
        <w:spacing w:line="1" w:lineRule="exact"/>
        <w:jc w:val="both"/>
        <w:rPr>
          <w:rFonts w:ascii="Arial" w:eastAsia="Arial" w:hAnsi="Arial"/>
          <w:sz w:val="22"/>
          <w:szCs w:val="22"/>
        </w:rPr>
      </w:pPr>
    </w:p>
    <w:p w:rsidR="009F6309" w:rsidRPr="00C42585" w:rsidRDefault="009F6309" w:rsidP="009F630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1993. évi XCIII. törvény - a munkavédelemről</w:t>
      </w:r>
    </w:p>
    <w:p w:rsidR="009F6309" w:rsidRPr="00C42585" w:rsidRDefault="009F6309" w:rsidP="009F630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1993. évi III. törvény - a szociális igazgatásról és a szociális ellátásokról</w:t>
      </w:r>
    </w:p>
    <w:p w:rsidR="00EE5DFA" w:rsidRDefault="00EE5DFA" w:rsidP="00EE5DFA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1991. évi XLIX. törvény a csődeljárásról és a felszámolási eljárásról</w:t>
      </w:r>
    </w:p>
    <w:p w:rsidR="008835BE" w:rsidRPr="008835BE" w:rsidRDefault="008835BE" w:rsidP="008835BE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8835BE">
        <w:rPr>
          <w:rFonts w:ascii="Arial" w:eastAsia="Arial" w:hAnsi="Arial"/>
          <w:sz w:val="22"/>
          <w:szCs w:val="22"/>
        </w:rPr>
        <w:t>1990. évi LXXXVII. törvény az árak megállapításáról</w:t>
      </w:r>
    </w:p>
    <w:p w:rsidR="00E435C7" w:rsidRPr="00C42585" w:rsidRDefault="00E435C7">
      <w:pPr>
        <w:rPr>
          <w:rFonts w:ascii="Arial" w:hAnsi="Arial"/>
          <w:b/>
          <w:sz w:val="22"/>
          <w:szCs w:val="22"/>
        </w:rPr>
      </w:pPr>
    </w:p>
    <w:p w:rsidR="00E435C7" w:rsidRPr="00C42585" w:rsidRDefault="00E435C7">
      <w:pPr>
        <w:rPr>
          <w:rFonts w:ascii="Arial" w:hAnsi="Arial"/>
          <w:b/>
          <w:sz w:val="22"/>
          <w:szCs w:val="22"/>
        </w:rPr>
      </w:pPr>
    </w:p>
    <w:p w:rsidR="0071369C" w:rsidRPr="00C42585" w:rsidRDefault="0071369C">
      <w:pPr>
        <w:rPr>
          <w:rFonts w:ascii="Arial" w:hAnsi="Arial"/>
          <w:b/>
          <w:sz w:val="22"/>
          <w:szCs w:val="22"/>
        </w:rPr>
      </w:pPr>
    </w:p>
    <w:p w:rsidR="0071369C" w:rsidRPr="00C42585" w:rsidRDefault="0071369C">
      <w:pPr>
        <w:rPr>
          <w:rFonts w:ascii="Arial" w:hAnsi="Arial"/>
          <w:b/>
          <w:sz w:val="22"/>
          <w:szCs w:val="22"/>
        </w:rPr>
      </w:pPr>
    </w:p>
    <w:p w:rsidR="009F6309" w:rsidRPr="00C42585" w:rsidRDefault="009F6309" w:rsidP="009F6309">
      <w:pPr>
        <w:spacing w:line="0" w:lineRule="atLeast"/>
        <w:ind w:right="20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C42585">
        <w:rPr>
          <w:rFonts w:ascii="Arial" w:eastAsia="Arial" w:hAnsi="Arial"/>
          <w:b/>
          <w:sz w:val="22"/>
          <w:szCs w:val="22"/>
          <w:u w:val="single"/>
        </w:rPr>
        <w:t>Kormányrendeletek</w:t>
      </w:r>
    </w:p>
    <w:p w:rsidR="006714AD" w:rsidRPr="00C42585" w:rsidRDefault="006714AD" w:rsidP="009F6309">
      <w:pPr>
        <w:spacing w:line="308" w:lineRule="exact"/>
        <w:jc w:val="both"/>
        <w:rPr>
          <w:rFonts w:ascii="Arial" w:eastAsia="Times New Roman" w:hAnsi="Arial"/>
          <w:sz w:val="22"/>
          <w:szCs w:val="22"/>
        </w:rPr>
      </w:pPr>
    </w:p>
    <w:p w:rsidR="00AF7ABD" w:rsidRPr="00C42585" w:rsidRDefault="00191EDC" w:rsidP="005C1703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364"/>
        <w:jc w:val="both"/>
        <w:rPr>
          <w:rFonts w:ascii="Arial" w:eastAsia="Arial" w:hAnsi="Arial"/>
          <w:b/>
          <w:sz w:val="22"/>
          <w:szCs w:val="22"/>
        </w:rPr>
      </w:pPr>
      <w:r w:rsidRPr="00C42585">
        <w:rPr>
          <w:rFonts w:ascii="Arial" w:eastAsia="Arial" w:hAnsi="Arial"/>
          <w:b/>
          <w:sz w:val="22"/>
          <w:szCs w:val="22"/>
        </w:rPr>
        <w:t>2</w:t>
      </w:r>
      <w:r w:rsidR="00AF7ABD" w:rsidRPr="00C42585">
        <w:rPr>
          <w:rFonts w:ascii="Arial" w:eastAsia="Arial" w:hAnsi="Arial"/>
          <w:b/>
          <w:sz w:val="22"/>
          <w:szCs w:val="22"/>
        </w:rPr>
        <w:t xml:space="preserve">73/2007. (X. 19.) Korm. rendelet </w:t>
      </w:r>
      <w:r w:rsidR="00223ED6" w:rsidRPr="00C42585">
        <w:rPr>
          <w:rFonts w:ascii="Arial" w:eastAsia="Arial" w:hAnsi="Arial"/>
          <w:b/>
          <w:sz w:val="22"/>
          <w:szCs w:val="22"/>
        </w:rPr>
        <w:t xml:space="preserve">- </w:t>
      </w:r>
      <w:r w:rsidR="00AF7ABD" w:rsidRPr="00C42585">
        <w:rPr>
          <w:rFonts w:ascii="Arial" w:eastAsia="Arial" w:hAnsi="Arial"/>
          <w:b/>
          <w:sz w:val="22"/>
          <w:szCs w:val="22"/>
        </w:rPr>
        <w:t>a villamos energiáról szóló 2007. évi LXXXVI. törvény egyes rendelkezéseinek végrehajtásáról</w:t>
      </w:r>
    </w:p>
    <w:p w:rsidR="0076794C" w:rsidRPr="00C42585" w:rsidRDefault="0076794C" w:rsidP="0076794C">
      <w:pPr>
        <w:pStyle w:val="Listaszerbekezds"/>
        <w:rPr>
          <w:rFonts w:ascii="Arial" w:eastAsia="Arial" w:hAnsi="Arial"/>
          <w:sz w:val="22"/>
          <w:szCs w:val="22"/>
        </w:rPr>
      </w:pPr>
    </w:p>
    <w:p w:rsidR="00AB2971" w:rsidRPr="00C42585" w:rsidRDefault="00AB2971" w:rsidP="00DF3FF9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hAnsi="Arial"/>
          <w:sz w:val="22"/>
          <w:szCs w:val="22"/>
        </w:rPr>
      </w:pPr>
      <w:r w:rsidRPr="00C42585">
        <w:rPr>
          <w:rFonts w:ascii="Arial" w:hAnsi="Arial"/>
          <w:sz w:val="22"/>
          <w:szCs w:val="22"/>
        </w:rPr>
        <w:t>299/2017. (X. 17.) Korm. rendelet</w:t>
      </w:r>
      <w:r w:rsidR="00B719D7" w:rsidRPr="00C42585">
        <w:rPr>
          <w:rFonts w:ascii="Arial" w:hAnsi="Arial"/>
          <w:sz w:val="22"/>
          <w:szCs w:val="22"/>
        </w:rPr>
        <w:t xml:space="preserve"> - a megújuló energiaforrásból termelt villamos energia kötelező átvételi és prémium típusú támogatásáról</w:t>
      </w:r>
    </w:p>
    <w:p w:rsidR="00223ED6" w:rsidRPr="00C42585" w:rsidRDefault="00223ED6" w:rsidP="00223ED6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451/2016. (XII. 19.) Korm. rendelet - az elektronikus ügyintézés részletszabályairól</w:t>
      </w:r>
    </w:p>
    <w:p w:rsidR="009F6309" w:rsidRPr="00C42585" w:rsidRDefault="009F6309" w:rsidP="009F6309">
      <w:pPr>
        <w:numPr>
          <w:ilvl w:val="0"/>
          <w:numId w:val="2"/>
        </w:numPr>
        <w:tabs>
          <w:tab w:val="left" w:pos="699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 xml:space="preserve">387/2016. (XII.2.) Korm. rendelet </w:t>
      </w:r>
      <w:r w:rsidR="00C42A3B" w:rsidRPr="00C42585">
        <w:rPr>
          <w:rFonts w:ascii="Arial" w:eastAsia="Arial" w:hAnsi="Arial"/>
          <w:sz w:val="22"/>
          <w:szCs w:val="22"/>
        </w:rPr>
        <w:t xml:space="preserve">- </w:t>
      </w:r>
      <w:r w:rsidRPr="00C42585">
        <w:rPr>
          <w:rFonts w:ascii="Arial" w:eastAsia="Arial" w:hAnsi="Arial"/>
          <w:sz w:val="22"/>
          <w:szCs w:val="22"/>
        </w:rPr>
        <w:t>a fogyasztóvédelmi hatóság kijelöléséről</w:t>
      </w:r>
    </w:p>
    <w:p w:rsidR="006A2485" w:rsidRPr="00C42585" w:rsidRDefault="006A2485" w:rsidP="006A2485">
      <w:pPr>
        <w:numPr>
          <w:ilvl w:val="0"/>
          <w:numId w:val="2"/>
        </w:numPr>
        <w:tabs>
          <w:tab w:val="left" w:pos="699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 xml:space="preserve">280/2016. (IX. 21.) Korm. rendelet </w:t>
      </w:r>
      <w:r w:rsidR="00223ED6" w:rsidRPr="00C42585">
        <w:rPr>
          <w:rFonts w:ascii="Arial" w:eastAsia="Arial" w:hAnsi="Arial"/>
          <w:sz w:val="22"/>
          <w:szCs w:val="22"/>
        </w:rPr>
        <w:t xml:space="preserve">- </w:t>
      </w:r>
      <w:r w:rsidRPr="00C42585">
        <w:rPr>
          <w:rFonts w:ascii="Arial" w:eastAsia="Arial" w:hAnsi="Arial"/>
          <w:sz w:val="22"/>
          <w:szCs w:val="22"/>
        </w:rPr>
        <w:t>a villamosenergia-rendszer jelentős zavara és a villamosenergia-ellátási válsághelyzet esetén szükséges intézkedésekről</w:t>
      </w:r>
    </w:p>
    <w:p w:rsidR="009F6309" w:rsidRPr="00C42585" w:rsidRDefault="009F6309" w:rsidP="009F6309">
      <w:pPr>
        <w:numPr>
          <w:ilvl w:val="0"/>
          <w:numId w:val="3"/>
        </w:numPr>
        <w:tabs>
          <w:tab w:val="left" w:pos="699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bookmarkStart w:id="0" w:name="page2"/>
      <w:bookmarkEnd w:id="0"/>
      <w:r w:rsidRPr="00C42585">
        <w:rPr>
          <w:rFonts w:ascii="Arial" w:eastAsia="Arial" w:hAnsi="Arial"/>
          <w:sz w:val="22"/>
          <w:szCs w:val="22"/>
        </w:rPr>
        <w:t>26/2016. (II. 25.) Korm. rendelet - az okos mérés bevezetésével kapcsolatos központi mintaprojekt megvalósításával összefüggő szabályokról</w:t>
      </w:r>
    </w:p>
    <w:p w:rsidR="009F6309" w:rsidRPr="00C42585" w:rsidRDefault="009F6309" w:rsidP="009F6309">
      <w:pPr>
        <w:spacing w:line="1" w:lineRule="exact"/>
        <w:jc w:val="both"/>
        <w:rPr>
          <w:rFonts w:ascii="Arial" w:eastAsia="Arial" w:hAnsi="Arial"/>
          <w:sz w:val="22"/>
          <w:szCs w:val="22"/>
        </w:rPr>
      </w:pPr>
    </w:p>
    <w:p w:rsidR="009F6309" w:rsidRPr="00C42585" w:rsidRDefault="009F6309" w:rsidP="009F6309">
      <w:pPr>
        <w:numPr>
          <w:ilvl w:val="0"/>
          <w:numId w:val="3"/>
        </w:numPr>
        <w:tabs>
          <w:tab w:val="left" w:pos="699"/>
        </w:tabs>
        <w:spacing w:line="239" w:lineRule="auto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122/2015. (V. 26.) Korm. rendelet –</w:t>
      </w:r>
      <w:r w:rsidR="00AE49C5" w:rsidRPr="00C42585">
        <w:rPr>
          <w:rFonts w:ascii="Arial" w:eastAsia="Arial" w:hAnsi="Arial"/>
          <w:sz w:val="22"/>
          <w:szCs w:val="22"/>
        </w:rPr>
        <w:t xml:space="preserve"> az</w:t>
      </w:r>
      <w:r w:rsidRPr="00C42585">
        <w:rPr>
          <w:rFonts w:ascii="Arial" w:eastAsia="Arial" w:hAnsi="Arial"/>
          <w:sz w:val="22"/>
          <w:szCs w:val="22"/>
        </w:rPr>
        <w:t xml:space="preserve"> energiahatékonyságról szóló törvény végrehajtásáról</w:t>
      </w:r>
    </w:p>
    <w:p w:rsidR="0011506A" w:rsidRPr="00C42585" w:rsidRDefault="0011506A" w:rsidP="0011506A"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309/2013. (VIII. 16.) Korm. rendelet a megújuló energiaforrásból és a nagy hatásfokú kapcsolt energiatermelésből nyert villamos energia származásának igazolásáról</w:t>
      </w:r>
    </w:p>
    <w:p w:rsidR="009F6309" w:rsidRPr="00C42585" w:rsidRDefault="009F6309" w:rsidP="009F6309">
      <w:pPr>
        <w:spacing w:line="12" w:lineRule="exact"/>
        <w:jc w:val="both"/>
        <w:rPr>
          <w:rFonts w:ascii="Arial" w:eastAsia="Arial" w:hAnsi="Arial"/>
          <w:sz w:val="22"/>
          <w:szCs w:val="22"/>
        </w:rPr>
      </w:pPr>
    </w:p>
    <w:p w:rsidR="009F6309" w:rsidRPr="00C42585" w:rsidRDefault="009F6309" w:rsidP="009F6309">
      <w:pPr>
        <w:spacing w:line="2" w:lineRule="exact"/>
        <w:jc w:val="both"/>
        <w:rPr>
          <w:rFonts w:ascii="Arial" w:eastAsia="Arial" w:hAnsi="Arial"/>
          <w:sz w:val="22"/>
          <w:szCs w:val="22"/>
        </w:rPr>
      </w:pPr>
    </w:p>
    <w:p w:rsidR="00712155" w:rsidRPr="00C42585" w:rsidRDefault="00712155" w:rsidP="008D1A80">
      <w:pPr>
        <w:numPr>
          <w:ilvl w:val="0"/>
          <w:numId w:val="3"/>
        </w:numPr>
        <w:tabs>
          <w:tab w:val="left" w:pos="699"/>
        </w:tabs>
        <w:spacing w:line="251" w:lineRule="auto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lastRenderedPageBreak/>
        <w:t>389/2007. (XII. 23.) Korm. rendelet - a megújuló energiaforrásból vagy hulladékból nyert energiával termelt villamos energia, valamint</w:t>
      </w:r>
      <w:r w:rsidRPr="00C42585">
        <w:rPr>
          <w:rFonts w:ascii="Arial" w:eastAsia="Arial" w:hAnsi="Arial"/>
          <w:sz w:val="22"/>
          <w:szCs w:val="22"/>
        </w:rPr>
        <w:br/>
        <w:t>a kapcsoltan termelt villamos energia kötelező átvételéről és átvételi áráról</w:t>
      </w:r>
    </w:p>
    <w:p w:rsidR="0014512F" w:rsidRPr="00C42585" w:rsidRDefault="0014512F" w:rsidP="009F6309">
      <w:pPr>
        <w:rPr>
          <w:rFonts w:ascii="Arial" w:hAnsi="Arial"/>
          <w:b/>
          <w:sz w:val="22"/>
          <w:szCs w:val="22"/>
        </w:rPr>
      </w:pPr>
    </w:p>
    <w:p w:rsidR="006714AD" w:rsidRPr="00C42585" w:rsidRDefault="006714AD" w:rsidP="009F6309">
      <w:pPr>
        <w:rPr>
          <w:rFonts w:ascii="Arial" w:hAnsi="Arial"/>
          <w:b/>
          <w:sz w:val="22"/>
          <w:szCs w:val="22"/>
        </w:rPr>
      </w:pPr>
    </w:p>
    <w:p w:rsidR="009F6309" w:rsidRPr="00C42585" w:rsidRDefault="009F6309" w:rsidP="00DF72AB">
      <w:pPr>
        <w:spacing w:line="0" w:lineRule="atLeast"/>
        <w:ind w:right="20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C42585">
        <w:rPr>
          <w:rFonts w:ascii="Arial" w:eastAsia="Arial" w:hAnsi="Arial"/>
          <w:b/>
          <w:sz w:val="22"/>
          <w:szCs w:val="22"/>
          <w:u w:val="single"/>
        </w:rPr>
        <w:t>Miniszteri rendeletek</w:t>
      </w:r>
    </w:p>
    <w:p w:rsidR="006714AD" w:rsidRPr="00C42585" w:rsidRDefault="006714AD" w:rsidP="00DF72AB">
      <w:pPr>
        <w:spacing w:line="0" w:lineRule="atLeast"/>
        <w:ind w:right="20"/>
        <w:jc w:val="center"/>
        <w:rPr>
          <w:rFonts w:ascii="Arial" w:eastAsia="Arial" w:hAnsi="Arial"/>
          <w:b/>
          <w:sz w:val="22"/>
          <w:szCs w:val="22"/>
          <w:u w:val="single"/>
        </w:rPr>
      </w:pPr>
    </w:p>
    <w:p w:rsidR="009F6309" w:rsidRPr="00C42585" w:rsidRDefault="009F6309" w:rsidP="009F6309">
      <w:pPr>
        <w:spacing w:line="1" w:lineRule="exact"/>
        <w:jc w:val="both"/>
        <w:rPr>
          <w:rFonts w:ascii="Arial" w:eastAsia="Arial" w:hAnsi="Arial"/>
          <w:sz w:val="22"/>
          <w:szCs w:val="22"/>
        </w:rPr>
      </w:pPr>
      <w:bookmarkStart w:id="1" w:name="page3"/>
      <w:bookmarkEnd w:id="1"/>
    </w:p>
    <w:p w:rsidR="001967B7" w:rsidRPr="00C42585" w:rsidRDefault="001967B7" w:rsidP="001967B7">
      <w:pPr>
        <w:numPr>
          <w:ilvl w:val="0"/>
          <w:numId w:val="4"/>
        </w:numPr>
        <w:tabs>
          <w:tab w:val="left" w:pos="699"/>
        </w:tabs>
        <w:spacing w:line="0" w:lineRule="atLeast"/>
        <w:ind w:left="700" w:right="6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72/2016. (XII. 29.) NFM rendelet - a villamos energia egyetemes szolgáltató által külön díj ellenében végzett szolgáltatásokról</w:t>
      </w:r>
    </w:p>
    <w:p w:rsidR="00C83AB9" w:rsidRPr="00C42585" w:rsidRDefault="00C83AB9" w:rsidP="00C83AB9">
      <w:pPr>
        <w:numPr>
          <w:ilvl w:val="0"/>
          <w:numId w:val="4"/>
        </w:numPr>
        <w:tabs>
          <w:tab w:val="left" w:pos="699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57/2013. (IX. 27.) NFM rendelet - a bennfentes információk közzétételével kapcsolatos részletszabályokról</w:t>
      </w:r>
    </w:p>
    <w:p w:rsidR="009F6309" w:rsidRPr="00C42585" w:rsidRDefault="009F6309" w:rsidP="009F6309">
      <w:pPr>
        <w:spacing w:line="2" w:lineRule="exact"/>
        <w:jc w:val="both"/>
        <w:rPr>
          <w:rFonts w:ascii="Arial" w:eastAsia="Arial" w:hAnsi="Arial"/>
          <w:sz w:val="22"/>
          <w:szCs w:val="22"/>
        </w:rPr>
      </w:pPr>
    </w:p>
    <w:p w:rsidR="009F6309" w:rsidRPr="00C42585" w:rsidRDefault="009F6309" w:rsidP="009F6309">
      <w:pPr>
        <w:spacing w:line="2" w:lineRule="exact"/>
        <w:jc w:val="both"/>
        <w:rPr>
          <w:rFonts w:ascii="Arial" w:eastAsia="Arial" w:hAnsi="Arial"/>
          <w:sz w:val="22"/>
          <w:szCs w:val="22"/>
        </w:rPr>
      </w:pPr>
    </w:p>
    <w:p w:rsidR="00475C68" w:rsidRPr="00C42585" w:rsidRDefault="00475C68" w:rsidP="00071597">
      <w:pPr>
        <w:numPr>
          <w:ilvl w:val="1"/>
          <w:numId w:val="4"/>
        </w:numPr>
        <w:tabs>
          <w:tab w:val="left" w:pos="699"/>
        </w:tabs>
        <w:spacing w:line="0" w:lineRule="atLeast"/>
        <w:ind w:left="680" w:hanging="277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1/2012. (I. 20.) NFM rendelet a megújuló forrásokból előállított energia részarányának kiszámítási módszertanáról</w:t>
      </w:r>
    </w:p>
    <w:p w:rsidR="001967B7" w:rsidRPr="00C42585" w:rsidRDefault="001967B7" w:rsidP="001967B7">
      <w:pPr>
        <w:numPr>
          <w:ilvl w:val="1"/>
          <w:numId w:val="4"/>
        </w:numPr>
        <w:tabs>
          <w:tab w:val="left" w:pos="699"/>
        </w:tabs>
        <w:spacing w:line="0" w:lineRule="atLeast"/>
        <w:ind w:left="680" w:hanging="277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4/2011. (I. 31.) NFM rendelet - a villamos energia egyetemes szolgáltatás árképzéséről</w:t>
      </w:r>
    </w:p>
    <w:p w:rsidR="00C83AB9" w:rsidRPr="00C42585" w:rsidRDefault="00C83AB9" w:rsidP="00C83AB9">
      <w:pPr>
        <w:numPr>
          <w:ilvl w:val="1"/>
          <w:numId w:val="4"/>
        </w:numPr>
        <w:tabs>
          <w:tab w:val="left" w:pos="699"/>
        </w:tabs>
        <w:spacing w:line="0" w:lineRule="atLeast"/>
        <w:ind w:left="680" w:hanging="277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6/2008. (VI. 18.) KHEM rendelet - a villamosenergia-rendszer irányításával, működésével és használatával összefüggő egyes adatszolgáltatásokról</w:t>
      </w:r>
    </w:p>
    <w:p w:rsidR="00C83AB9" w:rsidRPr="00C42585" w:rsidRDefault="00C83AB9" w:rsidP="00C83AB9">
      <w:pPr>
        <w:numPr>
          <w:ilvl w:val="1"/>
          <w:numId w:val="4"/>
        </w:numPr>
        <w:tabs>
          <w:tab w:val="left" w:pos="699"/>
        </w:tabs>
        <w:spacing w:line="0" w:lineRule="atLeast"/>
        <w:ind w:left="680" w:hanging="277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116/2007. (XII. 29.) GKM rendelet a villamosenergia-iparban fennálló vagy eltöltött munkaviszonnyal összefüggésben igénybe vehető villamosenergia-vásárlási kedvezményről</w:t>
      </w:r>
    </w:p>
    <w:p w:rsidR="009F6309" w:rsidRPr="00C42585" w:rsidRDefault="009F6309" w:rsidP="009F6309">
      <w:pPr>
        <w:numPr>
          <w:ilvl w:val="0"/>
          <w:numId w:val="5"/>
        </w:numPr>
        <w:tabs>
          <w:tab w:val="left" w:pos="699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bookmarkStart w:id="2" w:name="page4"/>
      <w:bookmarkEnd w:id="2"/>
      <w:r w:rsidRPr="00C42585">
        <w:rPr>
          <w:rFonts w:ascii="Arial" w:eastAsia="Arial" w:hAnsi="Arial"/>
          <w:sz w:val="22"/>
          <w:szCs w:val="22"/>
        </w:rPr>
        <w:t>28/1994. (X. 28.) IKM rendelet - a gázszolgáltatónak, a gázértékesítőnek és a villamos-energia szolgáltatónak a fogyasztók társadalmi érdekképviseleti szervezeteivel való együttműködéséről</w:t>
      </w:r>
    </w:p>
    <w:p w:rsidR="00AD03BA" w:rsidRPr="00C42585" w:rsidRDefault="00AD03BA" w:rsidP="009F6309">
      <w:pPr>
        <w:rPr>
          <w:rFonts w:ascii="Arial" w:hAnsi="Arial"/>
          <w:b/>
          <w:sz w:val="22"/>
          <w:szCs w:val="22"/>
        </w:rPr>
      </w:pPr>
    </w:p>
    <w:p w:rsidR="006714AD" w:rsidRPr="00C42585" w:rsidRDefault="006714AD" w:rsidP="009F6309">
      <w:pPr>
        <w:rPr>
          <w:rFonts w:ascii="Arial" w:hAnsi="Arial"/>
          <w:b/>
          <w:sz w:val="22"/>
          <w:szCs w:val="22"/>
        </w:rPr>
      </w:pPr>
    </w:p>
    <w:p w:rsidR="009F6309" w:rsidRPr="00C42585" w:rsidRDefault="009F6309" w:rsidP="009F6309">
      <w:pPr>
        <w:spacing w:line="0" w:lineRule="atLeast"/>
        <w:ind w:right="20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C42585">
        <w:rPr>
          <w:rFonts w:ascii="Arial" w:eastAsia="Arial" w:hAnsi="Arial"/>
          <w:b/>
          <w:sz w:val="22"/>
          <w:szCs w:val="22"/>
          <w:u w:val="single"/>
        </w:rPr>
        <w:t>MEKH (Magyar Energetikai és Közmű-szabályozási Hivatal) rendeletek</w:t>
      </w:r>
    </w:p>
    <w:p w:rsidR="00366A91" w:rsidRPr="00C42585" w:rsidRDefault="00366A91" w:rsidP="00366A91">
      <w:pPr>
        <w:tabs>
          <w:tab w:val="left" w:pos="700"/>
        </w:tabs>
        <w:spacing w:line="228" w:lineRule="auto"/>
        <w:jc w:val="both"/>
        <w:rPr>
          <w:rFonts w:ascii="Arial" w:eastAsia="Arial" w:hAnsi="Arial"/>
          <w:sz w:val="22"/>
          <w:szCs w:val="22"/>
        </w:rPr>
      </w:pPr>
    </w:p>
    <w:p w:rsidR="006714AD" w:rsidRPr="00C42585" w:rsidRDefault="006714AD" w:rsidP="00366A91">
      <w:pPr>
        <w:tabs>
          <w:tab w:val="left" w:pos="700"/>
        </w:tabs>
        <w:spacing w:line="228" w:lineRule="auto"/>
        <w:jc w:val="both"/>
        <w:rPr>
          <w:rFonts w:ascii="Arial" w:eastAsia="Arial" w:hAnsi="Arial"/>
          <w:sz w:val="22"/>
          <w:szCs w:val="22"/>
        </w:rPr>
      </w:pPr>
    </w:p>
    <w:p w:rsidR="008A3AB7" w:rsidRPr="00C42585" w:rsidRDefault="008A3AB7" w:rsidP="008A3AB7">
      <w:pPr>
        <w:numPr>
          <w:ilvl w:val="0"/>
          <w:numId w:val="6"/>
        </w:numPr>
        <w:tabs>
          <w:tab w:val="left" w:pos="699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hAnsi="Arial"/>
          <w:sz w:val="22"/>
          <w:szCs w:val="22"/>
        </w:rPr>
        <w:t>12/2020. (XII. 14.) MEKH rendelet - a villamos energia rendszerhasználati díjak, csatlakozási díjak és külön díjak meghatározásának a 2021. április 1. napjával induló árszabályozási ciklusra vonatkozó keretszabályairól</w:t>
      </w:r>
    </w:p>
    <w:p w:rsidR="008A3AB7" w:rsidRPr="00C42585" w:rsidRDefault="008A3AB7" w:rsidP="008A3AB7">
      <w:pPr>
        <w:numPr>
          <w:ilvl w:val="0"/>
          <w:numId w:val="6"/>
        </w:numPr>
        <w:tabs>
          <w:tab w:val="left" w:pos="699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7/2020. (VIII.5.) MEKH rendelet - a kötelező átvételi jogosultságok, valamint a pályázati eljárás alá nem tartozó, új létesítésű termelőegységekhez kapcsolódó prémium típusú támogatások esetében a villamosenergia-termelés megkezdés, kereskedelmi üzem megkezdés határidőinek veszélyhelyzettel összefüggésben történő meghosszabbításáról</w:t>
      </w:r>
    </w:p>
    <w:p w:rsidR="001967B7" w:rsidRPr="00C42585" w:rsidRDefault="001967B7" w:rsidP="001967B7">
      <w:pPr>
        <w:numPr>
          <w:ilvl w:val="0"/>
          <w:numId w:val="6"/>
        </w:numPr>
        <w:tabs>
          <w:tab w:val="left" w:pos="699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10/2016. (XI. 14.) MEKH rendelet - a villamos energia rendszerhasználati díjak, csatlakozási díjak és külön díjak alkalmazási szabályairól</w:t>
      </w:r>
    </w:p>
    <w:p w:rsidR="009F6309" w:rsidRPr="00C42585" w:rsidRDefault="009F6309" w:rsidP="009F6309">
      <w:pPr>
        <w:spacing w:line="2" w:lineRule="exact"/>
        <w:jc w:val="both"/>
        <w:rPr>
          <w:rFonts w:ascii="Arial" w:eastAsia="Arial" w:hAnsi="Arial"/>
          <w:sz w:val="22"/>
          <w:szCs w:val="22"/>
        </w:rPr>
      </w:pPr>
    </w:p>
    <w:p w:rsidR="009F6309" w:rsidRPr="00C42585" w:rsidRDefault="009F6309" w:rsidP="009F6309">
      <w:pPr>
        <w:numPr>
          <w:ilvl w:val="0"/>
          <w:numId w:val="6"/>
        </w:numPr>
        <w:tabs>
          <w:tab w:val="left" w:pos="699"/>
        </w:tabs>
        <w:spacing w:line="0" w:lineRule="atLeast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1/2014. (III.4.) MEKH rendelet – a Magyar Energetikai és Közmű –szabályozási Hivatal igazgatási szolgáltatási díja</w:t>
      </w:r>
      <w:r w:rsidR="0009139E" w:rsidRPr="00C42585">
        <w:rPr>
          <w:rFonts w:ascii="Arial" w:eastAsia="Arial" w:hAnsi="Arial"/>
          <w:sz w:val="22"/>
          <w:szCs w:val="22"/>
        </w:rPr>
        <w:t>ina</w:t>
      </w:r>
      <w:r w:rsidRPr="00C42585">
        <w:rPr>
          <w:rFonts w:ascii="Arial" w:eastAsia="Arial" w:hAnsi="Arial"/>
          <w:sz w:val="22"/>
          <w:szCs w:val="22"/>
        </w:rPr>
        <w:t>k mértékéről, valamint az igazgatási szolgáltatási, a felügyeleti díjak és egyéb bevételek beszedésére, kezelésére, nyilvántartására és visszatérítésére vonatkozó szabályokról</w:t>
      </w:r>
    </w:p>
    <w:p w:rsidR="009F6309" w:rsidRPr="00C42585" w:rsidRDefault="009F6309" w:rsidP="009F6309">
      <w:pPr>
        <w:spacing w:line="250" w:lineRule="exact"/>
        <w:jc w:val="both"/>
        <w:rPr>
          <w:rFonts w:ascii="Arial" w:eastAsia="Times New Roman" w:hAnsi="Arial"/>
          <w:sz w:val="22"/>
          <w:szCs w:val="22"/>
        </w:rPr>
      </w:pPr>
    </w:p>
    <w:p w:rsidR="006714AD" w:rsidRPr="00C42585" w:rsidRDefault="006714AD" w:rsidP="009F6309">
      <w:pPr>
        <w:spacing w:line="250" w:lineRule="exact"/>
        <w:jc w:val="both"/>
        <w:rPr>
          <w:rFonts w:ascii="Arial" w:eastAsia="Times New Roman" w:hAnsi="Arial"/>
          <w:sz w:val="22"/>
          <w:szCs w:val="22"/>
        </w:rPr>
      </w:pPr>
    </w:p>
    <w:p w:rsidR="009F6309" w:rsidRPr="00C42585" w:rsidRDefault="009F6309" w:rsidP="009F6309">
      <w:pPr>
        <w:spacing w:line="0" w:lineRule="atLeast"/>
        <w:ind w:right="20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C42585">
        <w:rPr>
          <w:rFonts w:ascii="Arial" w:eastAsia="Arial" w:hAnsi="Arial"/>
          <w:b/>
          <w:sz w:val="22"/>
          <w:szCs w:val="22"/>
          <w:u w:val="single"/>
        </w:rPr>
        <w:t>Az Európai Unió jogi aktusai</w:t>
      </w:r>
    </w:p>
    <w:p w:rsidR="006714AD" w:rsidRPr="00C42585" w:rsidRDefault="006714AD" w:rsidP="009F6309">
      <w:pPr>
        <w:spacing w:line="310" w:lineRule="exact"/>
        <w:jc w:val="both"/>
        <w:rPr>
          <w:rFonts w:ascii="Arial" w:eastAsia="Times New Roman" w:hAnsi="Arial"/>
          <w:sz w:val="22"/>
          <w:szCs w:val="22"/>
        </w:rPr>
      </w:pPr>
    </w:p>
    <w:p w:rsidR="006714AD" w:rsidRPr="00C42585" w:rsidRDefault="006714AD" w:rsidP="009F6309">
      <w:pPr>
        <w:spacing w:line="310" w:lineRule="exact"/>
        <w:jc w:val="both"/>
        <w:rPr>
          <w:rFonts w:ascii="Arial" w:eastAsia="Times New Roman" w:hAnsi="Arial"/>
          <w:sz w:val="22"/>
          <w:szCs w:val="22"/>
        </w:rPr>
      </w:pPr>
    </w:p>
    <w:p w:rsidR="00807F80" w:rsidRDefault="00807F80" w:rsidP="00807F80">
      <w:pPr>
        <w:numPr>
          <w:ilvl w:val="0"/>
          <w:numId w:val="7"/>
        </w:numPr>
        <w:tabs>
          <w:tab w:val="left" w:pos="719"/>
        </w:tabs>
        <w:spacing w:line="239" w:lineRule="auto"/>
        <w:ind w:left="720" w:hanging="364"/>
        <w:jc w:val="both"/>
        <w:rPr>
          <w:rFonts w:ascii="Arial" w:eastAsia="Arial" w:hAnsi="Arial"/>
          <w:sz w:val="22"/>
          <w:szCs w:val="22"/>
        </w:rPr>
      </w:pPr>
      <w:r w:rsidRPr="00C15181">
        <w:rPr>
          <w:rFonts w:ascii="Arial" w:eastAsia="Arial" w:hAnsi="Arial"/>
          <w:sz w:val="22"/>
          <w:szCs w:val="22"/>
        </w:rPr>
        <w:t>Az Európai Parlament és a Tanács (EU) 2019/943 rendelete (2019. június 5.) a villamos energia belső piacáról</w:t>
      </w:r>
    </w:p>
    <w:p w:rsidR="00807F80" w:rsidRPr="00C42585" w:rsidRDefault="00807F80" w:rsidP="00807F80">
      <w:pPr>
        <w:numPr>
          <w:ilvl w:val="0"/>
          <w:numId w:val="7"/>
        </w:numPr>
        <w:tabs>
          <w:tab w:val="left" w:pos="719"/>
        </w:tabs>
        <w:spacing w:line="239" w:lineRule="auto"/>
        <w:ind w:left="720" w:hanging="364"/>
        <w:jc w:val="both"/>
        <w:rPr>
          <w:rFonts w:ascii="Arial" w:eastAsia="Arial" w:hAnsi="Arial"/>
          <w:sz w:val="22"/>
          <w:szCs w:val="22"/>
        </w:rPr>
      </w:pPr>
      <w:r w:rsidRPr="00C15181">
        <w:rPr>
          <w:rFonts w:ascii="Arial" w:eastAsia="Arial" w:hAnsi="Arial"/>
          <w:sz w:val="22"/>
          <w:szCs w:val="22"/>
        </w:rPr>
        <w:t>Az Európai Parlament és a Tanács (EU) 2019/944 irányelve (2019.június 5.) a villamos energia belső piacára vonatkozó közös szabályokról és a 2012/27/EU irányelv módosításáról</w:t>
      </w:r>
    </w:p>
    <w:p w:rsidR="00AF5AE9" w:rsidRPr="00C42585" w:rsidRDefault="00AF5AE9" w:rsidP="00AF5AE9">
      <w:pPr>
        <w:numPr>
          <w:ilvl w:val="0"/>
          <w:numId w:val="7"/>
        </w:numPr>
        <w:tabs>
          <w:tab w:val="left" w:pos="699"/>
        </w:tabs>
        <w:spacing w:line="263" w:lineRule="auto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hAnsi="Arial"/>
          <w:bCs/>
          <w:sz w:val="22"/>
          <w:szCs w:val="22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:rsidR="009F6309" w:rsidRPr="00C42585" w:rsidRDefault="009F6309" w:rsidP="009F6309">
      <w:pPr>
        <w:spacing w:line="2" w:lineRule="exact"/>
        <w:jc w:val="both"/>
        <w:rPr>
          <w:rFonts w:ascii="Arial" w:eastAsia="Arial" w:hAnsi="Arial"/>
          <w:sz w:val="22"/>
          <w:szCs w:val="22"/>
        </w:rPr>
      </w:pPr>
    </w:p>
    <w:p w:rsidR="009F6309" w:rsidRPr="00C42585" w:rsidRDefault="009F6309" w:rsidP="009F6309">
      <w:pPr>
        <w:numPr>
          <w:ilvl w:val="0"/>
          <w:numId w:val="7"/>
        </w:numPr>
        <w:tabs>
          <w:tab w:val="left" w:pos="699"/>
        </w:tabs>
        <w:spacing w:line="239" w:lineRule="auto"/>
        <w:ind w:left="70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lastRenderedPageBreak/>
        <w:t xml:space="preserve">A Bizottság 1348/2014/EU végrehajtási rendelete (2014. december 17.) </w:t>
      </w:r>
      <w:r w:rsidR="00734A4B" w:rsidRPr="00C42585">
        <w:rPr>
          <w:rFonts w:ascii="Arial" w:eastAsia="Arial" w:hAnsi="Arial"/>
          <w:sz w:val="22"/>
          <w:szCs w:val="22"/>
        </w:rPr>
        <w:t xml:space="preserve">- </w:t>
      </w:r>
      <w:r w:rsidRPr="00C42585">
        <w:rPr>
          <w:rFonts w:ascii="Arial" w:eastAsia="Arial" w:hAnsi="Arial"/>
          <w:sz w:val="22"/>
          <w:szCs w:val="22"/>
        </w:rPr>
        <w:t>a nagykereskedelmi energiapiacok integritásáról és átláthatóságáról szóló 1227/2011/EU európai parlamenti és tanácsi rendelet 8. cikke (2) és (6) bekezdésének végrehajtására irányuló adatszolgáltatásról</w:t>
      </w:r>
    </w:p>
    <w:p w:rsidR="009F6309" w:rsidRPr="00C42585" w:rsidRDefault="009F6309" w:rsidP="009F6309">
      <w:pPr>
        <w:spacing w:line="2" w:lineRule="exact"/>
        <w:jc w:val="both"/>
        <w:rPr>
          <w:rFonts w:ascii="Arial" w:eastAsia="Arial" w:hAnsi="Arial"/>
          <w:sz w:val="22"/>
          <w:szCs w:val="22"/>
        </w:rPr>
      </w:pPr>
    </w:p>
    <w:p w:rsidR="009F6309" w:rsidRPr="00C42585" w:rsidRDefault="009F6309" w:rsidP="009F6309">
      <w:pPr>
        <w:spacing w:line="1" w:lineRule="exact"/>
        <w:jc w:val="both"/>
        <w:rPr>
          <w:rFonts w:ascii="Arial" w:eastAsia="Arial" w:hAnsi="Arial"/>
          <w:sz w:val="22"/>
          <w:szCs w:val="22"/>
        </w:rPr>
      </w:pPr>
      <w:bookmarkStart w:id="3" w:name="page5"/>
      <w:bookmarkEnd w:id="3"/>
    </w:p>
    <w:p w:rsidR="009F6309" w:rsidRPr="00C42585" w:rsidRDefault="009F6309" w:rsidP="009F6309">
      <w:pPr>
        <w:numPr>
          <w:ilvl w:val="0"/>
          <w:numId w:val="8"/>
        </w:numPr>
        <w:tabs>
          <w:tab w:val="left" w:pos="719"/>
        </w:tabs>
        <w:spacing w:line="239" w:lineRule="auto"/>
        <w:ind w:left="72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 xml:space="preserve">Az Európai Parlament és a Tanács 2012/27/EU irányelve (2012. október 25.) </w:t>
      </w:r>
      <w:r w:rsidR="00734A4B" w:rsidRPr="00C42585">
        <w:rPr>
          <w:rFonts w:ascii="Arial" w:eastAsia="Arial" w:hAnsi="Arial"/>
          <w:sz w:val="22"/>
          <w:szCs w:val="22"/>
        </w:rPr>
        <w:t xml:space="preserve">- </w:t>
      </w:r>
      <w:r w:rsidRPr="00C42585">
        <w:rPr>
          <w:rFonts w:ascii="Arial" w:eastAsia="Arial" w:hAnsi="Arial"/>
          <w:sz w:val="22"/>
          <w:szCs w:val="22"/>
        </w:rPr>
        <w:t>az energiahatékonyságról, a 2009/125/EK és a 2010/30/EU irányelv módosításáról, valamint a 2004/8/EK és a 2006/32/EK irányelv hatályon kívül helyezéséről</w:t>
      </w:r>
    </w:p>
    <w:p w:rsidR="009F6309" w:rsidRPr="00C42585" w:rsidRDefault="009F6309" w:rsidP="009F6309">
      <w:pPr>
        <w:spacing w:line="2" w:lineRule="exact"/>
        <w:jc w:val="both"/>
        <w:rPr>
          <w:rFonts w:ascii="Arial" w:eastAsia="Arial" w:hAnsi="Arial"/>
          <w:sz w:val="22"/>
          <w:szCs w:val="22"/>
        </w:rPr>
      </w:pPr>
    </w:p>
    <w:p w:rsidR="00E75686" w:rsidRPr="00C15181" w:rsidRDefault="009F6309" w:rsidP="00C15181">
      <w:pPr>
        <w:numPr>
          <w:ilvl w:val="0"/>
          <w:numId w:val="8"/>
        </w:numPr>
        <w:tabs>
          <w:tab w:val="left" w:pos="719"/>
        </w:tabs>
        <w:spacing w:line="0" w:lineRule="atLeast"/>
        <w:ind w:left="72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 xml:space="preserve">Az Európai Parlament és a Tanács 1227/2011/EU rendelete (2011. október 25.) </w:t>
      </w:r>
      <w:r w:rsidR="00734A4B" w:rsidRPr="00C42585">
        <w:rPr>
          <w:rFonts w:ascii="Arial" w:eastAsia="Arial" w:hAnsi="Arial"/>
          <w:sz w:val="22"/>
          <w:szCs w:val="22"/>
        </w:rPr>
        <w:t xml:space="preserve">- </w:t>
      </w:r>
      <w:r w:rsidRPr="00C42585">
        <w:rPr>
          <w:rFonts w:ascii="Arial" w:eastAsia="Arial" w:hAnsi="Arial"/>
          <w:sz w:val="22"/>
          <w:szCs w:val="22"/>
        </w:rPr>
        <w:t>a nagykereskedelmi energiapiacok integritásáról és átláthatóságáról</w:t>
      </w:r>
    </w:p>
    <w:p w:rsidR="009F6309" w:rsidRPr="00C42585" w:rsidRDefault="009F6309" w:rsidP="009F6309">
      <w:pPr>
        <w:spacing w:line="2" w:lineRule="exact"/>
        <w:jc w:val="both"/>
        <w:rPr>
          <w:rFonts w:ascii="Arial" w:eastAsia="Arial" w:hAnsi="Arial"/>
          <w:sz w:val="22"/>
          <w:szCs w:val="22"/>
        </w:rPr>
      </w:pPr>
    </w:p>
    <w:p w:rsidR="00807F80" w:rsidRPr="00C42585" w:rsidRDefault="00807F80" w:rsidP="00807F80">
      <w:pPr>
        <w:numPr>
          <w:ilvl w:val="0"/>
          <w:numId w:val="8"/>
        </w:numPr>
        <w:tabs>
          <w:tab w:val="left" w:pos="719"/>
        </w:tabs>
        <w:spacing w:line="0" w:lineRule="atLeast"/>
        <w:ind w:left="72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>Az Európai Parlament és a Tanács 648/2012/EU rendelete (2012. július 4.) - a tőzsdén kívüli származtatott ügyletekről, a központi szerződő felekről és a kereskedési adattárakról</w:t>
      </w:r>
    </w:p>
    <w:p w:rsidR="009F6309" w:rsidRPr="00C42585" w:rsidRDefault="009F6309" w:rsidP="009F6309">
      <w:pPr>
        <w:numPr>
          <w:ilvl w:val="0"/>
          <w:numId w:val="8"/>
        </w:numPr>
        <w:tabs>
          <w:tab w:val="left" w:pos="719"/>
        </w:tabs>
        <w:spacing w:line="239" w:lineRule="auto"/>
        <w:ind w:left="720" w:hanging="364"/>
        <w:jc w:val="both"/>
        <w:rPr>
          <w:rFonts w:ascii="Arial" w:eastAsia="Arial" w:hAnsi="Arial"/>
          <w:sz w:val="22"/>
          <w:szCs w:val="22"/>
        </w:rPr>
      </w:pPr>
      <w:r w:rsidRPr="00C42585">
        <w:rPr>
          <w:rFonts w:ascii="Arial" w:eastAsia="Arial" w:hAnsi="Arial"/>
          <w:sz w:val="22"/>
          <w:szCs w:val="22"/>
        </w:rPr>
        <w:t xml:space="preserve">Az Európai Parlament és a Tanács 2009/28/EK irányelve (2009. április 23.) </w:t>
      </w:r>
      <w:r w:rsidR="00734A4B" w:rsidRPr="00C42585">
        <w:rPr>
          <w:rFonts w:ascii="Arial" w:eastAsia="Arial" w:hAnsi="Arial"/>
          <w:sz w:val="22"/>
          <w:szCs w:val="22"/>
        </w:rPr>
        <w:t xml:space="preserve">- </w:t>
      </w:r>
      <w:r w:rsidRPr="00C42585">
        <w:rPr>
          <w:rFonts w:ascii="Arial" w:eastAsia="Arial" w:hAnsi="Arial"/>
          <w:sz w:val="22"/>
          <w:szCs w:val="22"/>
        </w:rPr>
        <w:t>a megújuló energiaforrásból előállított energia támogatásáról, valamint a 2001/77/EK és a 2003/30/EK irányelv módosításáról és azt követő hatályon kívül helyezéséről</w:t>
      </w:r>
    </w:p>
    <w:p w:rsidR="009F6309" w:rsidRPr="00C42585" w:rsidRDefault="009F6309" w:rsidP="009F6309">
      <w:pPr>
        <w:spacing w:line="0" w:lineRule="atLeast"/>
        <w:jc w:val="both"/>
        <w:rPr>
          <w:rFonts w:ascii="Arial" w:eastAsia="Arial" w:hAnsi="Arial"/>
          <w:b/>
          <w:sz w:val="22"/>
          <w:szCs w:val="22"/>
        </w:rPr>
      </w:pPr>
      <w:bookmarkStart w:id="4" w:name="_GoBack"/>
      <w:bookmarkEnd w:id="4"/>
    </w:p>
    <w:p w:rsidR="009F6309" w:rsidRPr="00C42585" w:rsidRDefault="009F6309" w:rsidP="009F6309">
      <w:pPr>
        <w:spacing w:line="0" w:lineRule="atLeast"/>
        <w:jc w:val="both"/>
        <w:rPr>
          <w:rFonts w:ascii="Arial" w:eastAsia="Arial" w:hAnsi="Arial"/>
          <w:b/>
          <w:sz w:val="22"/>
          <w:szCs w:val="22"/>
        </w:rPr>
      </w:pPr>
      <w:r w:rsidRPr="00C42585">
        <w:rPr>
          <w:rFonts w:ascii="Arial" w:eastAsia="Arial" w:hAnsi="Arial"/>
          <w:b/>
          <w:sz w:val="22"/>
          <w:szCs w:val="22"/>
        </w:rPr>
        <w:t xml:space="preserve">Lezárva: </w:t>
      </w:r>
      <w:r w:rsidR="005C65A9" w:rsidRPr="00C42585">
        <w:rPr>
          <w:rFonts w:ascii="Arial" w:eastAsia="Arial" w:hAnsi="Arial"/>
          <w:b/>
          <w:sz w:val="22"/>
          <w:szCs w:val="22"/>
        </w:rPr>
        <w:t>202</w:t>
      </w:r>
      <w:r w:rsidR="008557F5">
        <w:rPr>
          <w:rFonts w:ascii="Arial" w:eastAsia="Arial" w:hAnsi="Arial"/>
          <w:b/>
          <w:sz w:val="22"/>
          <w:szCs w:val="22"/>
        </w:rPr>
        <w:t>1</w:t>
      </w:r>
      <w:r w:rsidR="00902911" w:rsidRPr="00C42585">
        <w:rPr>
          <w:rFonts w:ascii="Arial" w:eastAsia="Arial" w:hAnsi="Arial"/>
          <w:b/>
          <w:sz w:val="22"/>
          <w:szCs w:val="22"/>
        </w:rPr>
        <w:t xml:space="preserve">. </w:t>
      </w:r>
      <w:r w:rsidR="00305441">
        <w:rPr>
          <w:rFonts w:ascii="Arial" w:eastAsia="Arial" w:hAnsi="Arial"/>
          <w:b/>
          <w:sz w:val="22"/>
          <w:szCs w:val="22"/>
        </w:rPr>
        <w:t>augusztus</w:t>
      </w:r>
      <w:r w:rsidR="00305441">
        <w:rPr>
          <w:rFonts w:ascii="Arial" w:eastAsia="Arial" w:hAnsi="Arial"/>
          <w:b/>
          <w:sz w:val="22"/>
          <w:szCs w:val="22"/>
        </w:rPr>
        <w:t xml:space="preserve"> </w:t>
      </w:r>
      <w:r w:rsidR="00B4065A">
        <w:rPr>
          <w:rFonts w:ascii="Arial" w:eastAsia="Arial" w:hAnsi="Arial"/>
          <w:b/>
          <w:sz w:val="22"/>
          <w:szCs w:val="22"/>
        </w:rPr>
        <w:t>3</w:t>
      </w:r>
      <w:r w:rsidR="00674D7F">
        <w:rPr>
          <w:rFonts w:ascii="Arial" w:eastAsia="Arial" w:hAnsi="Arial"/>
          <w:b/>
          <w:sz w:val="22"/>
          <w:szCs w:val="22"/>
        </w:rPr>
        <w:t>1</w:t>
      </w:r>
      <w:r w:rsidR="00B4065A">
        <w:rPr>
          <w:rFonts w:ascii="Arial" w:eastAsia="Arial" w:hAnsi="Arial"/>
          <w:b/>
          <w:sz w:val="22"/>
          <w:szCs w:val="22"/>
        </w:rPr>
        <w:t>.</w:t>
      </w:r>
    </w:p>
    <w:p w:rsidR="009F6309" w:rsidRPr="00C42585" w:rsidRDefault="009F6309" w:rsidP="009F6309">
      <w:pPr>
        <w:rPr>
          <w:rFonts w:ascii="Arial" w:hAnsi="Arial"/>
          <w:b/>
          <w:sz w:val="22"/>
          <w:szCs w:val="22"/>
        </w:rPr>
      </w:pPr>
    </w:p>
    <w:sectPr w:rsidR="009F6309" w:rsidRPr="00C42585" w:rsidSect="000D73A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1F" w:rsidRDefault="00BB7D1F" w:rsidP="00C4136C">
      <w:r>
        <w:separator/>
      </w:r>
    </w:p>
  </w:endnote>
  <w:endnote w:type="continuationSeparator" w:id="0">
    <w:p w:rsidR="00BB7D1F" w:rsidRDefault="00BB7D1F" w:rsidP="00C4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1F" w:rsidRDefault="00BB7D1F" w:rsidP="00C4136C">
      <w:r>
        <w:separator/>
      </w:r>
    </w:p>
  </w:footnote>
  <w:footnote w:type="continuationSeparator" w:id="0">
    <w:p w:rsidR="00BB7D1F" w:rsidRDefault="00BB7D1F" w:rsidP="00C4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AFAF740">
      <w:start w:val="1"/>
      <w:numFmt w:val="bullet"/>
      <w:lvlText w:val="-"/>
      <w:lvlJc w:val="left"/>
    </w:lvl>
    <w:lvl w:ilvl="1" w:tplc="E578F1AC">
      <w:start w:val="1"/>
      <w:numFmt w:val="bullet"/>
      <w:lvlText w:val=""/>
      <w:lvlJc w:val="left"/>
    </w:lvl>
    <w:lvl w:ilvl="2" w:tplc="EA22C398">
      <w:start w:val="1"/>
      <w:numFmt w:val="bullet"/>
      <w:lvlText w:val=""/>
      <w:lvlJc w:val="left"/>
    </w:lvl>
    <w:lvl w:ilvl="3" w:tplc="2E4C6C1A">
      <w:start w:val="1"/>
      <w:numFmt w:val="bullet"/>
      <w:lvlText w:val=""/>
      <w:lvlJc w:val="left"/>
    </w:lvl>
    <w:lvl w:ilvl="4" w:tplc="8C2E332C">
      <w:start w:val="1"/>
      <w:numFmt w:val="bullet"/>
      <w:lvlText w:val=""/>
      <w:lvlJc w:val="left"/>
    </w:lvl>
    <w:lvl w:ilvl="5" w:tplc="9FD8B8B6">
      <w:start w:val="1"/>
      <w:numFmt w:val="bullet"/>
      <w:lvlText w:val=""/>
      <w:lvlJc w:val="left"/>
    </w:lvl>
    <w:lvl w:ilvl="6" w:tplc="979A80D0">
      <w:start w:val="1"/>
      <w:numFmt w:val="bullet"/>
      <w:lvlText w:val=""/>
      <w:lvlJc w:val="left"/>
    </w:lvl>
    <w:lvl w:ilvl="7" w:tplc="3532472E">
      <w:start w:val="1"/>
      <w:numFmt w:val="bullet"/>
      <w:lvlText w:val=""/>
      <w:lvlJc w:val="left"/>
    </w:lvl>
    <w:lvl w:ilvl="8" w:tplc="06AAFF7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283E2B22">
      <w:start w:val="1"/>
      <w:numFmt w:val="bullet"/>
      <w:lvlText w:val="-"/>
      <w:lvlJc w:val="left"/>
    </w:lvl>
    <w:lvl w:ilvl="1" w:tplc="FBE2950C">
      <w:start w:val="1"/>
      <w:numFmt w:val="bullet"/>
      <w:lvlText w:val=""/>
      <w:lvlJc w:val="left"/>
    </w:lvl>
    <w:lvl w:ilvl="2" w:tplc="6EE6D4B0">
      <w:start w:val="1"/>
      <w:numFmt w:val="bullet"/>
      <w:lvlText w:val=""/>
      <w:lvlJc w:val="left"/>
    </w:lvl>
    <w:lvl w:ilvl="3" w:tplc="EA823FCA">
      <w:start w:val="1"/>
      <w:numFmt w:val="bullet"/>
      <w:lvlText w:val=""/>
      <w:lvlJc w:val="left"/>
    </w:lvl>
    <w:lvl w:ilvl="4" w:tplc="BAA4A80C">
      <w:start w:val="1"/>
      <w:numFmt w:val="bullet"/>
      <w:lvlText w:val=""/>
      <w:lvlJc w:val="left"/>
    </w:lvl>
    <w:lvl w:ilvl="5" w:tplc="5B541A1A">
      <w:start w:val="1"/>
      <w:numFmt w:val="bullet"/>
      <w:lvlText w:val=""/>
      <w:lvlJc w:val="left"/>
    </w:lvl>
    <w:lvl w:ilvl="6" w:tplc="9B547528">
      <w:start w:val="1"/>
      <w:numFmt w:val="bullet"/>
      <w:lvlText w:val=""/>
      <w:lvlJc w:val="left"/>
    </w:lvl>
    <w:lvl w:ilvl="7" w:tplc="2452C31C">
      <w:start w:val="1"/>
      <w:numFmt w:val="bullet"/>
      <w:lvlText w:val=""/>
      <w:lvlJc w:val="left"/>
    </w:lvl>
    <w:lvl w:ilvl="8" w:tplc="843C763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11B6F3B4">
      <w:start w:val="1"/>
      <w:numFmt w:val="bullet"/>
      <w:lvlText w:val="-"/>
      <w:lvlJc w:val="left"/>
    </w:lvl>
    <w:lvl w:ilvl="1" w:tplc="C3262850">
      <w:start w:val="1"/>
      <w:numFmt w:val="bullet"/>
      <w:lvlText w:val=""/>
      <w:lvlJc w:val="left"/>
    </w:lvl>
    <w:lvl w:ilvl="2" w:tplc="09DEE34E">
      <w:start w:val="1"/>
      <w:numFmt w:val="bullet"/>
      <w:lvlText w:val=""/>
      <w:lvlJc w:val="left"/>
    </w:lvl>
    <w:lvl w:ilvl="3" w:tplc="D15C5FA0">
      <w:start w:val="1"/>
      <w:numFmt w:val="bullet"/>
      <w:lvlText w:val=""/>
      <w:lvlJc w:val="left"/>
    </w:lvl>
    <w:lvl w:ilvl="4" w:tplc="F2F2B7AA">
      <w:start w:val="1"/>
      <w:numFmt w:val="bullet"/>
      <w:lvlText w:val=""/>
      <w:lvlJc w:val="left"/>
    </w:lvl>
    <w:lvl w:ilvl="5" w:tplc="822EAE54">
      <w:start w:val="1"/>
      <w:numFmt w:val="bullet"/>
      <w:lvlText w:val=""/>
      <w:lvlJc w:val="left"/>
    </w:lvl>
    <w:lvl w:ilvl="6" w:tplc="6DFA755C">
      <w:start w:val="1"/>
      <w:numFmt w:val="bullet"/>
      <w:lvlText w:val=""/>
      <w:lvlJc w:val="left"/>
    </w:lvl>
    <w:lvl w:ilvl="7" w:tplc="C6F2D42E">
      <w:start w:val="1"/>
      <w:numFmt w:val="bullet"/>
      <w:lvlText w:val=""/>
      <w:lvlJc w:val="left"/>
    </w:lvl>
    <w:lvl w:ilvl="8" w:tplc="A97EED1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6D60812C">
      <w:start w:val="1"/>
      <w:numFmt w:val="bullet"/>
      <w:lvlText w:val="-"/>
      <w:lvlJc w:val="left"/>
    </w:lvl>
    <w:lvl w:ilvl="1" w:tplc="0BC2732E">
      <w:start w:val="1"/>
      <w:numFmt w:val="bullet"/>
      <w:lvlText w:val="-"/>
      <w:lvlJc w:val="left"/>
    </w:lvl>
    <w:lvl w:ilvl="2" w:tplc="3B42AB48">
      <w:start w:val="1"/>
      <w:numFmt w:val="bullet"/>
      <w:lvlText w:val=""/>
      <w:lvlJc w:val="left"/>
    </w:lvl>
    <w:lvl w:ilvl="3" w:tplc="52E44B0E">
      <w:start w:val="1"/>
      <w:numFmt w:val="bullet"/>
      <w:lvlText w:val=""/>
      <w:lvlJc w:val="left"/>
    </w:lvl>
    <w:lvl w:ilvl="4" w:tplc="F0EC21BC">
      <w:start w:val="1"/>
      <w:numFmt w:val="bullet"/>
      <w:lvlText w:val=""/>
      <w:lvlJc w:val="left"/>
    </w:lvl>
    <w:lvl w:ilvl="5" w:tplc="8F18F5C4">
      <w:start w:val="1"/>
      <w:numFmt w:val="bullet"/>
      <w:lvlText w:val=""/>
      <w:lvlJc w:val="left"/>
    </w:lvl>
    <w:lvl w:ilvl="6" w:tplc="F5A4604C">
      <w:start w:val="1"/>
      <w:numFmt w:val="bullet"/>
      <w:lvlText w:val=""/>
      <w:lvlJc w:val="left"/>
    </w:lvl>
    <w:lvl w:ilvl="7" w:tplc="AD9CC8B4">
      <w:start w:val="1"/>
      <w:numFmt w:val="bullet"/>
      <w:lvlText w:val=""/>
      <w:lvlJc w:val="left"/>
    </w:lvl>
    <w:lvl w:ilvl="8" w:tplc="5058D71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B8F88030">
      <w:start w:val="1"/>
      <w:numFmt w:val="bullet"/>
      <w:lvlText w:val="-"/>
      <w:lvlJc w:val="left"/>
    </w:lvl>
    <w:lvl w:ilvl="1" w:tplc="16D692B6">
      <w:start w:val="1"/>
      <w:numFmt w:val="bullet"/>
      <w:lvlText w:val=""/>
      <w:lvlJc w:val="left"/>
    </w:lvl>
    <w:lvl w:ilvl="2" w:tplc="C61E0B24">
      <w:start w:val="1"/>
      <w:numFmt w:val="bullet"/>
      <w:lvlText w:val=""/>
      <w:lvlJc w:val="left"/>
    </w:lvl>
    <w:lvl w:ilvl="3" w:tplc="ABC88366">
      <w:start w:val="1"/>
      <w:numFmt w:val="bullet"/>
      <w:lvlText w:val=""/>
      <w:lvlJc w:val="left"/>
    </w:lvl>
    <w:lvl w:ilvl="4" w:tplc="7EC4C100">
      <w:start w:val="1"/>
      <w:numFmt w:val="bullet"/>
      <w:lvlText w:val=""/>
      <w:lvlJc w:val="left"/>
    </w:lvl>
    <w:lvl w:ilvl="5" w:tplc="CF987F6E">
      <w:start w:val="1"/>
      <w:numFmt w:val="bullet"/>
      <w:lvlText w:val=""/>
      <w:lvlJc w:val="left"/>
    </w:lvl>
    <w:lvl w:ilvl="6" w:tplc="32E00A54">
      <w:start w:val="1"/>
      <w:numFmt w:val="bullet"/>
      <w:lvlText w:val=""/>
      <w:lvlJc w:val="left"/>
    </w:lvl>
    <w:lvl w:ilvl="7" w:tplc="7C32068E">
      <w:start w:val="1"/>
      <w:numFmt w:val="bullet"/>
      <w:lvlText w:val=""/>
      <w:lvlJc w:val="left"/>
    </w:lvl>
    <w:lvl w:ilvl="8" w:tplc="EEF2421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172400AA">
      <w:start w:val="1"/>
      <w:numFmt w:val="bullet"/>
      <w:lvlText w:val="-"/>
      <w:lvlJc w:val="left"/>
    </w:lvl>
    <w:lvl w:ilvl="1" w:tplc="BEDA3CD2">
      <w:start w:val="1"/>
      <w:numFmt w:val="bullet"/>
      <w:lvlText w:val=""/>
      <w:lvlJc w:val="left"/>
    </w:lvl>
    <w:lvl w:ilvl="2" w:tplc="B43A866A">
      <w:start w:val="1"/>
      <w:numFmt w:val="bullet"/>
      <w:lvlText w:val=""/>
      <w:lvlJc w:val="left"/>
    </w:lvl>
    <w:lvl w:ilvl="3" w:tplc="FF202A84">
      <w:start w:val="1"/>
      <w:numFmt w:val="bullet"/>
      <w:lvlText w:val=""/>
      <w:lvlJc w:val="left"/>
    </w:lvl>
    <w:lvl w:ilvl="4" w:tplc="66A646EA">
      <w:start w:val="1"/>
      <w:numFmt w:val="bullet"/>
      <w:lvlText w:val=""/>
      <w:lvlJc w:val="left"/>
    </w:lvl>
    <w:lvl w:ilvl="5" w:tplc="FBA8FFCA">
      <w:start w:val="1"/>
      <w:numFmt w:val="bullet"/>
      <w:lvlText w:val=""/>
      <w:lvlJc w:val="left"/>
    </w:lvl>
    <w:lvl w:ilvl="6" w:tplc="9DB26320">
      <w:start w:val="1"/>
      <w:numFmt w:val="bullet"/>
      <w:lvlText w:val=""/>
      <w:lvlJc w:val="left"/>
    </w:lvl>
    <w:lvl w:ilvl="7" w:tplc="22A44366">
      <w:start w:val="1"/>
      <w:numFmt w:val="bullet"/>
      <w:lvlText w:val=""/>
      <w:lvlJc w:val="left"/>
    </w:lvl>
    <w:lvl w:ilvl="8" w:tplc="276E02E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4FE208B0">
      <w:start w:val="1"/>
      <w:numFmt w:val="bullet"/>
      <w:lvlText w:val="-"/>
      <w:lvlJc w:val="left"/>
    </w:lvl>
    <w:lvl w:ilvl="1" w:tplc="82CE98CC">
      <w:start w:val="1"/>
      <w:numFmt w:val="bullet"/>
      <w:lvlText w:val=""/>
      <w:lvlJc w:val="left"/>
    </w:lvl>
    <w:lvl w:ilvl="2" w:tplc="70EA4530">
      <w:start w:val="1"/>
      <w:numFmt w:val="bullet"/>
      <w:lvlText w:val=""/>
      <w:lvlJc w:val="left"/>
    </w:lvl>
    <w:lvl w:ilvl="3" w:tplc="B3D69650">
      <w:start w:val="1"/>
      <w:numFmt w:val="bullet"/>
      <w:lvlText w:val=""/>
      <w:lvlJc w:val="left"/>
    </w:lvl>
    <w:lvl w:ilvl="4" w:tplc="2A0A1D36">
      <w:start w:val="1"/>
      <w:numFmt w:val="bullet"/>
      <w:lvlText w:val=""/>
      <w:lvlJc w:val="left"/>
    </w:lvl>
    <w:lvl w:ilvl="5" w:tplc="13BA1AA8">
      <w:start w:val="1"/>
      <w:numFmt w:val="bullet"/>
      <w:lvlText w:val=""/>
      <w:lvlJc w:val="left"/>
    </w:lvl>
    <w:lvl w:ilvl="6" w:tplc="23109ED6">
      <w:start w:val="1"/>
      <w:numFmt w:val="bullet"/>
      <w:lvlText w:val=""/>
      <w:lvlJc w:val="left"/>
    </w:lvl>
    <w:lvl w:ilvl="7" w:tplc="0BF2A12C">
      <w:start w:val="1"/>
      <w:numFmt w:val="bullet"/>
      <w:lvlText w:val=""/>
      <w:lvlJc w:val="left"/>
    </w:lvl>
    <w:lvl w:ilvl="8" w:tplc="959050C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90C8B306">
      <w:start w:val="1"/>
      <w:numFmt w:val="bullet"/>
      <w:lvlText w:val="-"/>
      <w:lvlJc w:val="left"/>
    </w:lvl>
    <w:lvl w:ilvl="1" w:tplc="5E2AEAD4">
      <w:start w:val="1"/>
      <w:numFmt w:val="bullet"/>
      <w:lvlText w:val=""/>
      <w:lvlJc w:val="left"/>
    </w:lvl>
    <w:lvl w:ilvl="2" w:tplc="68028556">
      <w:start w:val="1"/>
      <w:numFmt w:val="bullet"/>
      <w:lvlText w:val=""/>
      <w:lvlJc w:val="left"/>
    </w:lvl>
    <w:lvl w:ilvl="3" w:tplc="BF026A7E">
      <w:start w:val="1"/>
      <w:numFmt w:val="bullet"/>
      <w:lvlText w:val=""/>
      <w:lvlJc w:val="left"/>
    </w:lvl>
    <w:lvl w:ilvl="4" w:tplc="CB24B0B8">
      <w:start w:val="1"/>
      <w:numFmt w:val="bullet"/>
      <w:lvlText w:val=""/>
      <w:lvlJc w:val="left"/>
    </w:lvl>
    <w:lvl w:ilvl="5" w:tplc="FF1A3FC6">
      <w:start w:val="1"/>
      <w:numFmt w:val="bullet"/>
      <w:lvlText w:val=""/>
      <w:lvlJc w:val="left"/>
    </w:lvl>
    <w:lvl w:ilvl="6" w:tplc="E32A6B2E">
      <w:start w:val="1"/>
      <w:numFmt w:val="bullet"/>
      <w:lvlText w:val=""/>
      <w:lvlJc w:val="left"/>
    </w:lvl>
    <w:lvl w:ilvl="7" w:tplc="2910CB74">
      <w:start w:val="1"/>
      <w:numFmt w:val="bullet"/>
      <w:lvlText w:val=""/>
      <w:lvlJc w:val="left"/>
    </w:lvl>
    <w:lvl w:ilvl="8" w:tplc="D33C390C">
      <w:start w:val="1"/>
      <w:numFmt w:val="bullet"/>
      <w:lvlText w:val=""/>
      <w:lvlJc w:val="left"/>
    </w:lvl>
  </w:abstractNum>
  <w:abstractNum w:abstractNumId="8" w15:restartNumberingAfterBreak="0">
    <w:nsid w:val="4AAA2C6C"/>
    <w:multiLevelType w:val="hybridMultilevel"/>
    <w:tmpl w:val="CFB4D11A"/>
    <w:lvl w:ilvl="0" w:tplc="F09E8A4A">
      <w:start w:val="2"/>
      <w:numFmt w:val="bullet"/>
      <w:lvlText w:val="-"/>
      <w:lvlJc w:val="left"/>
      <w:pPr>
        <w:ind w:left="827" w:hanging="360"/>
      </w:pPr>
      <w:rPr>
        <w:rFonts w:ascii="MyriadPro-Bold" w:eastAsiaTheme="minorHAnsi" w:hAnsi="MyriadPro-Bold" w:cs="MyriadPro-Bold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09"/>
    <w:rsid w:val="00006025"/>
    <w:rsid w:val="000506F8"/>
    <w:rsid w:val="00067B8A"/>
    <w:rsid w:val="00081CB2"/>
    <w:rsid w:val="000902D5"/>
    <w:rsid w:val="0009139E"/>
    <w:rsid w:val="000961DE"/>
    <w:rsid w:val="000A36B4"/>
    <w:rsid w:val="000C435C"/>
    <w:rsid w:val="000D73A9"/>
    <w:rsid w:val="000E29F1"/>
    <w:rsid w:val="000F79E8"/>
    <w:rsid w:val="0011506A"/>
    <w:rsid w:val="00120BF0"/>
    <w:rsid w:val="0014512F"/>
    <w:rsid w:val="00151820"/>
    <w:rsid w:val="001568A3"/>
    <w:rsid w:val="00161159"/>
    <w:rsid w:val="00191EDC"/>
    <w:rsid w:val="00193985"/>
    <w:rsid w:val="00193B38"/>
    <w:rsid w:val="001967B7"/>
    <w:rsid w:val="001D6614"/>
    <w:rsid w:val="002052A2"/>
    <w:rsid w:val="00223ED6"/>
    <w:rsid w:val="0023194D"/>
    <w:rsid w:val="002624F8"/>
    <w:rsid w:val="0026702F"/>
    <w:rsid w:val="00286F5A"/>
    <w:rsid w:val="002B0E23"/>
    <w:rsid w:val="002C53E9"/>
    <w:rsid w:val="002D68FB"/>
    <w:rsid w:val="00305441"/>
    <w:rsid w:val="00316697"/>
    <w:rsid w:val="003253E0"/>
    <w:rsid w:val="003366E1"/>
    <w:rsid w:val="003633BC"/>
    <w:rsid w:val="00366A91"/>
    <w:rsid w:val="00376F47"/>
    <w:rsid w:val="00393AD6"/>
    <w:rsid w:val="003A7DB3"/>
    <w:rsid w:val="003E365F"/>
    <w:rsid w:val="00417DA8"/>
    <w:rsid w:val="00424598"/>
    <w:rsid w:val="00430CBF"/>
    <w:rsid w:val="00465B5D"/>
    <w:rsid w:val="00471B76"/>
    <w:rsid w:val="00475C68"/>
    <w:rsid w:val="0049184C"/>
    <w:rsid w:val="004A6B70"/>
    <w:rsid w:val="004C2C23"/>
    <w:rsid w:val="004D4AEA"/>
    <w:rsid w:val="004E33CD"/>
    <w:rsid w:val="004F569D"/>
    <w:rsid w:val="00516065"/>
    <w:rsid w:val="00524AE0"/>
    <w:rsid w:val="005518AD"/>
    <w:rsid w:val="00594585"/>
    <w:rsid w:val="005A0DD1"/>
    <w:rsid w:val="005C1703"/>
    <w:rsid w:val="005C65A9"/>
    <w:rsid w:val="005E15DF"/>
    <w:rsid w:val="005E2821"/>
    <w:rsid w:val="005E407E"/>
    <w:rsid w:val="005E440B"/>
    <w:rsid w:val="005E6716"/>
    <w:rsid w:val="005F0FEC"/>
    <w:rsid w:val="005F4F7F"/>
    <w:rsid w:val="006332D8"/>
    <w:rsid w:val="006362B3"/>
    <w:rsid w:val="00642540"/>
    <w:rsid w:val="006430B5"/>
    <w:rsid w:val="00647B60"/>
    <w:rsid w:val="006714AD"/>
    <w:rsid w:val="00674D7F"/>
    <w:rsid w:val="006A2485"/>
    <w:rsid w:val="006A2E79"/>
    <w:rsid w:val="006A3A18"/>
    <w:rsid w:val="006B3D95"/>
    <w:rsid w:val="00710E57"/>
    <w:rsid w:val="00712155"/>
    <w:rsid w:val="0071369C"/>
    <w:rsid w:val="00734A4B"/>
    <w:rsid w:val="0074241B"/>
    <w:rsid w:val="007463EB"/>
    <w:rsid w:val="0076646C"/>
    <w:rsid w:val="0076794C"/>
    <w:rsid w:val="007A7D4D"/>
    <w:rsid w:val="007B0DA1"/>
    <w:rsid w:val="007B0EDF"/>
    <w:rsid w:val="007B5682"/>
    <w:rsid w:val="007C1118"/>
    <w:rsid w:val="007C6272"/>
    <w:rsid w:val="00802083"/>
    <w:rsid w:val="008061C1"/>
    <w:rsid w:val="00807F80"/>
    <w:rsid w:val="00815064"/>
    <w:rsid w:val="00834952"/>
    <w:rsid w:val="008557F5"/>
    <w:rsid w:val="008835BE"/>
    <w:rsid w:val="008A3AB7"/>
    <w:rsid w:val="008D1A80"/>
    <w:rsid w:val="008D506A"/>
    <w:rsid w:val="008E65BD"/>
    <w:rsid w:val="008F7263"/>
    <w:rsid w:val="00902911"/>
    <w:rsid w:val="00904015"/>
    <w:rsid w:val="0091539E"/>
    <w:rsid w:val="00922492"/>
    <w:rsid w:val="009368D6"/>
    <w:rsid w:val="00937B4C"/>
    <w:rsid w:val="009622EF"/>
    <w:rsid w:val="0097715B"/>
    <w:rsid w:val="009A5148"/>
    <w:rsid w:val="009B1E28"/>
    <w:rsid w:val="009E41A8"/>
    <w:rsid w:val="009F6309"/>
    <w:rsid w:val="00A11764"/>
    <w:rsid w:val="00A338E4"/>
    <w:rsid w:val="00A50ADF"/>
    <w:rsid w:val="00A6447F"/>
    <w:rsid w:val="00A70748"/>
    <w:rsid w:val="00A709A9"/>
    <w:rsid w:val="00A8339C"/>
    <w:rsid w:val="00A92334"/>
    <w:rsid w:val="00AA1FA5"/>
    <w:rsid w:val="00AA2A71"/>
    <w:rsid w:val="00AB2971"/>
    <w:rsid w:val="00AD03BA"/>
    <w:rsid w:val="00AE49C5"/>
    <w:rsid w:val="00AF5AE9"/>
    <w:rsid w:val="00AF7ABD"/>
    <w:rsid w:val="00B0791B"/>
    <w:rsid w:val="00B32696"/>
    <w:rsid w:val="00B33087"/>
    <w:rsid w:val="00B4065A"/>
    <w:rsid w:val="00B46985"/>
    <w:rsid w:val="00B719D7"/>
    <w:rsid w:val="00B8469E"/>
    <w:rsid w:val="00B94713"/>
    <w:rsid w:val="00B951A8"/>
    <w:rsid w:val="00B95D76"/>
    <w:rsid w:val="00BA1D2E"/>
    <w:rsid w:val="00BB5D4D"/>
    <w:rsid w:val="00BB7D1F"/>
    <w:rsid w:val="00BE24B5"/>
    <w:rsid w:val="00C0150C"/>
    <w:rsid w:val="00C15181"/>
    <w:rsid w:val="00C4136C"/>
    <w:rsid w:val="00C42585"/>
    <w:rsid w:val="00C42A3B"/>
    <w:rsid w:val="00C61790"/>
    <w:rsid w:val="00C66521"/>
    <w:rsid w:val="00C83AB9"/>
    <w:rsid w:val="00CB55A8"/>
    <w:rsid w:val="00CF037C"/>
    <w:rsid w:val="00D610CD"/>
    <w:rsid w:val="00D7541D"/>
    <w:rsid w:val="00D96133"/>
    <w:rsid w:val="00DB067F"/>
    <w:rsid w:val="00DC47E6"/>
    <w:rsid w:val="00DF3FF9"/>
    <w:rsid w:val="00DF72AB"/>
    <w:rsid w:val="00E126D7"/>
    <w:rsid w:val="00E435C7"/>
    <w:rsid w:val="00E63E78"/>
    <w:rsid w:val="00E75686"/>
    <w:rsid w:val="00E7602C"/>
    <w:rsid w:val="00ED26E4"/>
    <w:rsid w:val="00EE5DFA"/>
    <w:rsid w:val="00F059F2"/>
    <w:rsid w:val="00F27A6C"/>
    <w:rsid w:val="00F32E60"/>
    <w:rsid w:val="00F45380"/>
    <w:rsid w:val="00F61BA3"/>
    <w:rsid w:val="00F66BE0"/>
    <w:rsid w:val="00FC606D"/>
    <w:rsid w:val="00FF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E24"/>
  <w15:docId w15:val="{DC9E3B70-A6FC-4B13-9D31-10592CF8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630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F3F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7DA8"/>
    <w:pPr>
      <w:ind w:left="720"/>
      <w:contextualSpacing/>
    </w:pPr>
  </w:style>
  <w:style w:type="paragraph" w:customStyle="1" w:styleId="doc-ti">
    <w:name w:val="doc-ti"/>
    <w:basedOn w:val="Norml"/>
    <w:rsid w:val="00AF5A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C617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245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459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4598"/>
    <w:rPr>
      <w:rFonts w:ascii="Calibri" w:eastAsia="Calibri" w:hAnsi="Calibri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45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4598"/>
    <w:rPr>
      <w:rFonts w:ascii="Calibri" w:eastAsia="Calibri" w:hAnsi="Calibri" w:cs="Arial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5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598"/>
    <w:rPr>
      <w:rFonts w:ascii="Segoe UI" w:eastAsia="Calibri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249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3FF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413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136C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13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136C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FFCB-2087-420D-BA2A-9F2E2C1E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Főgáz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Hrustinszki Gabriella</dc:creator>
  <cp:lastModifiedBy>Dr. Pőcze Orsolya</cp:lastModifiedBy>
  <cp:revision>2</cp:revision>
  <cp:lastPrinted>2020-02-06T14:14:00Z</cp:lastPrinted>
  <dcterms:created xsi:type="dcterms:W3CDTF">2021-09-06T08:44:00Z</dcterms:created>
  <dcterms:modified xsi:type="dcterms:W3CDTF">2021-09-06T08:44:00Z</dcterms:modified>
</cp:coreProperties>
</file>